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sz w:val="24"/>
          <w:szCs w:val="24"/>
          <w:lang w:eastAsia="es-AR"/>
        </w:rPr>
        <w:t xml:space="preserve">Comisión </w:t>
      </w:r>
      <w:proofErr w:type="spellStart"/>
      <w:r w:rsidRPr="00435F41">
        <w:rPr>
          <w:rFonts w:ascii="Arial" w:eastAsia="Times New Roman" w:hAnsi="Arial" w:cs="Arial"/>
          <w:b/>
          <w:bCs/>
          <w:color w:val="000000"/>
          <w:sz w:val="24"/>
          <w:szCs w:val="24"/>
          <w:lang w:eastAsia="es-AR"/>
        </w:rPr>
        <w:t>DByF</w:t>
      </w:r>
      <w:proofErr w:type="spellEnd"/>
      <w:r w:rsidRPr="00435F41">
        <w:rPr>
          <w:rFonts w:ascii="Arial" w:eastAsia="Times New Roman" w:hAnsi="Arial" w:cs="Arial"/>
          <w:b/>
          <w:bCs/>
          <w:color w:val="000000"/>
          <w:sz w:val="24"/>
          <w:szCs w:val="24"/>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 xml:space="preserve">1° Reunión 18 de marzo - 9.00 </w:t>
      </w:r>
      <w:proofErr w:type="spellStart"/>
      <w:r w:rsidRPr="00435F41">
        <w:rPr>
          <w:rFonts w:ascii="Arial" w:eastAsia="Times New Roman" w:hAnsi="Arial" w:cs="Arial"/>
          <w:b/>
          <w:bCs/>
          <w:color w:val="000000"/>
          <w:lang w:eastAsia="es-AR"/>
        </w:rPr>
        <w:t>hs</w:t>
      </w:r>
      <w:proofErr w:type="spellEnd"/>
      <w:r w:rsidRPr="00435F41">
        <w:rPr>
          <w:rFonts w:ascii="Arial" w:eastAsia="Times New Roman" w:hAnsi="Arial" w:cs="Arial"/>
          <w:b/>
          <w:bCs/>
          <w:color w:val="000000"/>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Participaron: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pStyle w:val="Prrafodelista"/>
        <w:numPr>
          <w:ilvl w:val="0"/>
          <w:numId w:val="33"/>
        </w:num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Coordinación Ejecutiva</w:t>
      </w:r>
      <w:r>
        <w:rPr>
          <w:rFonts w:ascii="Arial" w:eastAsia="Times New Roman" w:hAnsi="Arial" w:cs="Arial"/>
          <w:color w:val="000000"/>
          <w:lang w:eastAsia="es-AR"/>
        </w:rPr>
        <w:t xml:space="preserve"> (CE)</w:t>
      </w:r>
      <w:r w:rsidRPr="00435F41">
        <w:rPr>
          <w:rFonts w:ascii="Arial" w:eastAsia="Times New Roman" w:hAnsi="Arial" w:cs="Arial"/>
          <w:color w:val="000000"/>
          <w:lang w:eastAsia="es-AR"/>
        </w:rPr>
        <w:t xml:space="preserve"> y Departamento IDERA:</w:t>
      </w:r>
    </w:p>
    <w:p w:rsid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sidRPr="00435F41">
        <w:rPr>
          <w:rFonts w:ascii="Arial" w:eastAsia="Times New Roman" w:hAnsi="Arial" w:cs="Arial"/>
          <w:color w:val="000000"/>
          <w:lang w:eastAsia="es-AR"/>
        </w:rPr>
        <w:t>Representantes jurisdiccionales:</w:t>
      </w:r>
    </w:p>
    <w:p w:rsidR="00435F41" w:rsidRP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Coordinadores de grupo</w:t>
      </w:r>
    </w:p>
    <w:p w:rsidR="00435F41" w:rsidRPr="00435F41" w:rsidRDefault="00435F41" w:rsidP="00435F41">
      <w:pPr>
        <w:spacing w:after="0" w:line="240" w:lineRule="auto"/>
        <w:rPr>
          <w:rFonts w:ascii="Arial" w:eastAsia="Times New Roman" w:hAnsi="Arial" w:cs="Arial"/>
          <w:color w:val="000000"/>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Notas: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Durante la reunión se planteó la necesidad de observar si los organismos que tienen la competencia sobre la generación de los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no dispusieran de recursos o medios necesarios para llevarlos adelante.</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Pr>
          <w:rFonts w:ascii="Arial" w:eastAsia="Times New Roman" w:hAnsi="Arial" w:cs="Arial"/>
          <w:color w:val="000000"/>
          <w:lang w:eastAsia="es-AR"/>
        </w:rPr>
        <w:t>Desde la CE</w:t>
      </w:r>
      <w:r w:rsidRPr="00435F41">
        <w:rPr>
          <w:rFonts w:ascii="Arial" w:eastAsia="Times New Roman" w:hAnsi="Arial" w:cs="Arial"/>
          <w:color w:val="000000"/>
          <w:lang w:eastAsia="es-AR"/>
        </w:rPr>
        <w:t xml:space="preserve"> hizo hincapié en no solo “qué” es lo que se publica (en relación a los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sino el “cómo” lograr que los organismos productores logren hacerlo.</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También se hizo referencia a la validación o revalidación de los datos y/o responsabilidad por ordenanza o normativa.</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Pr>
          <w:rFonts w:ascii="Arial" w:eastAsia="Times New Roman" w:hAnsi="Arial" w:cs="Arial"/>
          <w:color w:val="000000"/>
          <w:lang w:eastAsia="es-AR"/>
        </w:rPr>
        <w:t>Desde una</w:t>
      </w:r>
      <w:r w:rsidRPr="00435F41">
        <w:rPr>
          <w:rFonts w:ascii="Arial" w:eastAsia="Times New Roman" w:hAnsi="Arial" w:cs="Arial"/>
          <w:color w:val="000000"/>
          <w:lang w:eastAsia="es-AR"/>
        </w:rPr>
        <w:t xml:space="preserve"> jurisdicción de municipios, </w:t>
      </w:r>
      <w:r>
        <w:rPr>
          <w:rFonts w:ascii="Arial" w:eastAsia="Times New Roman" w:hAnsi="Arial" w:cs="Arial"/>
          <w:color w:val="000000"/>
          <w:lang w:eastAsia="es-AR"/>
        </w:rPr>
        <w:t xml:space="preserve">se </w:t>
      </w:r>
      <w:r w:rsidRPr="00435F41">
        <w:rPr>
          <w:rFonts w:ascii="Arial" w:eastAsia="Times New Roman" w:hAnsi="Arial" w:cs="Arial"/>
          <w:color w:val="000000"/>
          <w:lang w:eastAsia="es-AR"/>
        </w:rPr>
        <w:t xml:space="preserve">comenta sobre las cooperativas como objeto </w:t>
      </w:r>
      <w:proofErr w:type="spellStart"/>
      <w:proofErr w:type="gramStart"/>
      <w:r w:rsidRPr="00435F41">
        <w:rPr>
          <w:rFonts w:ascii="Arial" w:eastAsia="Times New Roman" w:hAnsi="Arial" w:cs="Arial"/>
          <w:color w:val="000000"/>
          <w:lang w:eastAsia="es-AR"/>
        </w:rPr>
        <w:t>byf</w:t>
      </w:r>
      <w:proofErr w:type="spellEnd"/>
      <w:r w:rsidRPr="00435F41">
        <w:rPr>
          <w:rFonts w:ascii="Arial" w:eastAsia="Times New Roman" w:hAnsi="Arial" w:cs="Arial"/>
          <w:color w:val="000000"/>
          <w:lang w:eastAsia="es-AR"/>
        </w:rPr>
        <w:t>  y</w:t>
      </w:r>
      <w:proofErr w:type="gramEnd"/>
      <w:r w:rsidRPr="00435F41">
        <w:rPr>
          <w:rFonts w:ascii="Arial" w:eastAsia="Times New Roman" w:hAnsi="Arial" w:cs="Arial"/>
          <w:color w:val="000000"/>
          <w:lang w:eastAsia="es-AR"/>
        </w:rPr>
        <w:t xml:space="preserve"> cuestiona sobre la responsabilidad de publicación.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Pr>
          <w:rFonts w:ascii="Arial" w:eastAsia="Times New Roman" w:hAnsi="Arial" w:cs="Arial"/>
          <w:color w:val="000000"/>
          <w:lang w:eastAsia="es-AR"/>
        </w:rPr>
        <w:t>Desde catastro de Córdoba se</w:t>
      </w:r>
      <w:r w:rsidRPr="00435F41">
        <w:rPr>
          <w:rFonts w:ascii="Arial" w:eastAsia="Times New Roman" w:hAnsi="Arial" w:cs="Arial"/>
          <w:color w:val="000000"/>
          <w:lang w:eastAsia="es-AR"/>
        </w:rPr>
        <w:t xml:space="preserve"> propone centrar el listado, resaltar la competencia de cada dato y qué sucede con los organismos que no cumplen con esa competencia.</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En ese sentido, </w:t>
      </w:r>
      <w:r>
        <w:rPr>
          <w:rFonts w:ascii="Arial" w:eastAsia="Times New Roman" w:hAnsi="Arial" w:cs="Arial"/>
          <w:color w:val="000000"/>
          <w:lang w:eastAsia="es-AR"/>
        </w:rPr>
        <w:t>desde la CE se</w:t>
      </w:r>
      <w:r w:rsidRPr="00435F41">
        <w:rPr>
          <w:rFonts w:ascii="Arial" w:eastAsia="Times New Roman" w:hAnsi="Arial" w:cs="Arial"/>
          <w:color w:val="000000"/>
          <w:lang w:eastAsia="es-AR"/>
        </w:rPr>
        <w:t xml:space="preserve"> va a compartir una serie de documentos de base, para que en 15 días se puedan poner en común los trabajos de cada jurisdicción.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Para ordenar la reunión, </w:t>
      </w:r>
      <w:r>
        <w:rPr>
          <w:rFonts w:ascii="Arial" w:eastAsia="Times New Roman" w:hAnsi="Arial" w:cs="Arial"/>
          <w:color w:val="000000"/>
          <w:lang w:eastAsia="es-AR"/>
        </w:rPr>
        <w:t>el coordinador de IG</w:t>
      </w:r>
      <w:r w:rsidRPr="00435F41">
        <w:rPr>
          <w:rFonts w:ascii="Arial" w:eastAsia="Times New Roman" w:hAnsi="Arial" w:cs="Arial"/>
          <w:color w:val="000000"/>
          <w:lang w:eastAsia="es-AR"/>
        </w:rPr>
        <w:t xml:space="preserve">, sugiere que se deberá basar los trabajos, en los documentos de IDERA sobre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que los define per se. Con el objetivo de lograr una eficiencia económica, se necesita definir prioridades de los datos a relevar.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Una vez que cada jurisdicción envíe sus aportes, es necesario compilarlos y tomar nota sobre las diferencias que se encuentren. También es necesario determinar métodos de validación.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Por último, </w:t>
      </w:r>
      <w:r>
        <w:rPr>
          <w:rFonts w:ascii="Arial" w:eastAsia="Times New Roman" w:hAnsi="Arial" w:cs="Arial"/>
          <w:color w:val="000000"/>
          <w:lang w:eastAsia="es-AR"/>
        </w:rPr>
        <w:t xml:space="preserve">desde la CE se </w:t>
      </w:r>
      <w:r w:rsidRPr="00435F41">
        <w:rPr>
          <w:rFonts w:ascii="Arial" w:eastAsia="Times New Roman" w:hAnsi="Arial" w:cs="Arial"/>
          <w:color w:val="222222"/>
          <w:shd w:val="clear" w:color="auto" w:fill="FFFFFF"/>
          <w:lang w:eastAsia="es-AR"/>
        </w:rPr>
        <w:t xml:space="preserve">dejó en claro el carácter no taxativo del documento que establece cuales son los </w:t>
      </w:r>
      <w:proofErr w:type="spellStart"/>
      <w:r w:rsidRPr="00435F41">
        <w:rPr>
          <w:rFonts w:ascii="Arial" w:eastAsia="Times New Roman" w:hAnsi="Arial" w:cs="Arial"/>
          <w:color w:val="222222"/>
          <w:shd w:val="clear" w:color="auto" w:fill="FFFFFF"/>
          <w:lang w:eastAsia="es-AR"/>
        </w:rPr>
        <w:t>DByF</w:t>
      </w:r>
      <w:proofErr w:type="spellEnd"/>
      <w:r w:rsidRPr="00435F41">
        <w:rPr>
          <w:rFonts w:ascii="Arial" w:eastAsia="Times New Roman" w:hAnsi="Arial" w:cs="Arial"/>
          <w:color w:val="222222"/>
          <w:shd w:val="clear" w:color="auto" w:fill="FFFFFF"/>
          <w:lang w:eastAsia="es-AR"/>
        </w:rPr>
        <w:t xml:space="preserve">, y darle cierta flexibilidad para que cada jurisdicción determine cuáles son "sus propios" </w:t>
      </w:r>
      <w:proofErr w:type="spellStart"/>
      <w:r w:rsidRPr="00435F41">
        <w:rPr>
          <w:rFonts w:ascii="Arial" w:eastAsia="Times New Roman" w:hAnsi="Arial" w:cs="Arial"/>
          <w:color w:val="222222"/>
          <w:shd w:val="clear" w:color="auto" w:fill="FFFFFF"/>
          <w:lang w:eastAsia="es-AR"/>
        </w:rPr>
        <w:t>DByF</w:t>
      </w:r>
      <w:proofErr w:type="spellEnd"/>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 xml:space="preserve">La próxima reunión será el día 8 de abril a las 15 </w:t>
      </w:r>
      <w:proofErr w:type="spellStart"/>
      <w:r w:rsidRPr="00435F41">
        <w:rPr>
          <w:rFonts w:ascii="Arial" w:eastAsia="Times New Roman" w:hAnsi="Arial" w:cs="Arial"/>
          <w:b/>
          <w:bCs/>
          <w:color w:val="000000"/>
          <w:lang w:eastAsia="es-AR"/>
        </w:rPr>
        <w:t>hs</w:t>
      </w:r>
      <w:proofErr w:type="spellEnd"/>
      <w:r w:rsidRPr="00435F41">
        <w:rPr>
          <w:rFonts w:ascii="Arial" w:eastAsia="Times New Roman" w:hAnsi="Arial" w:cs="Arial"/>
          <w:b/>
          <w:bCs/>
          <w:color w:val="000000"/>
          <w:lang w:eastAsia="es-AR"/>
        </w:rPr>
        <w:t>. para revisar en conjunto los aportes.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xml:space="preserve">Como aporte al trabajo de la comisión sobre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se enviará adjunto los siguientes documentos:</w:t>
      </w:r>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xml:space="preserve">- Documento original de UN-GGIM sobre </w:t>
      </w:r>
      <w:proofErr w:type="spellStart"/>
      <w:r w:rsidRPr="00435F41">
        <w:rPr>
          <w:rFonts w:ascii="Arial" w:eastAsia="Times New Roman" w:hAnsi="Arial" w:cs="Arial"/>
          <w:color w:val="000000"/>
          <w:lang w:eastAsia="es-AR"/>
        </w:rPr>
        <w:t>DByF</w:t>
      </w:r>
      <w:proofErr w:type="spellEnd"/>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Resumen traducido del mencionado documento</w:t>
      </w:r>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xml:space="preserve">- Planilla de seguimiento del estado de los </w:t>
      </w:r>
      <w:proofErr w:type="spellStart"/>
      <w:r w:rsidRPr="00435F41">
        <w:rPr>
          <w:rFonts w:ascii="Arial" w:eastAsia="Times New Roman" w:hAnsi="Arial" w:cs="Arial"/>
          <w:color w:val="000000"/>
          <w:lang w:eastAsia="es-AR"/>
        </w:rPr>
        <w:t>DByF</w:t>
      </w:r>
      <w:proofErr w:type="spellEnd"/>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Catálogo de Objetos Geográficos v2_marzo2019</w:t>
      </w:r>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t>- Descripción del Catálogo de Objetos Geográficos de IDERA v3.0</w:t>
      </w:r>
    </w:p>
    <w:p w:rsidR="00435F41" w:rsidRPr="00435F41" w:rsidRDefault="00435F41" w:rsidP="00435F41">
      <w:pPr>
        <w:spacing w:after="0" w:line="240" w:lineRule="auto"/>
        <w:jc w:val="both"/>
        <w:rPr>
          <w:rFonts w:ascii="Arial" w:eastAsia="Times New Roman" w:hAnsi="Arial" w:cs="Arial"/>
          <w:color w:val="000000"/>
          <w:lang w:eastAsia="es-AR"/>
        </w:rPr>
      </w:pPr>
      <w:r w:rsidRPr="00435F41">
        <w:rPr>
          <w:rFonts w:ascii="Arial" w:eastAsia="Times New Roman" w:hAnsi="Arial" w:cs="Arial"/>
          <w:color w:val="000000"/>
          <w:lang w:eastAsia="es-AR"/>
        </w:rPr>
        <w:lastRenderedPageBreak/>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 xml:space="preserve">2° Reunión 8 de abril - 15.00 </w:t>
      </w:r>
      <w:proofErr w:type="spellStart"/>
      <w:r w:rsidRPr="00435F41">
        <w:rPr>
          <w:rFonts w:ascii="Arial" w:eastAsia="Times New Roman" w:hAnsi="Arial" w:cs="Arial"/>
          <w:b/>
          <w:bCs/>
          <w:color w:val="000000"/>
          <w:lang w:eastAsia="es-AR"/>
        </w:rPr>
        <w:t>hs</w:t>
      </w:r>
      <w:proofErr w:type="spellEnd"/>
      <w:r w:rsidRPr="00435F41">
        <w:rPr>
          <w:rFonts w:ascii="Arial" w:eastAsia="Times New Roman" w:hAnsi="Arial" w:cs="Arial"/>
          <w:b/>
          <w:bCs/>
          <w:color w:val="000000"/>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Participaron: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pStyle w:val="Prrafodelista"/>
        <w:numPr>
          <w:ilvl w:val="0"/>
          <w:numId w:val="33"/>
        </w:num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Coordinación Ejecutiva</w:t>
      </w:r>
      <w:r>
        <w:rPr>
          <w:rFonts w:ascii="Arial" w:eastAsia="Times New Roman" w:hAnsi="Arial" w:cs="Arial"/>
          <w:color w:val="000000"/>
          <w:lang w:eastAsia="es-AR"/>
        </w:rPr>
        <w:t xml:space="preserve"> (CE)</w:t>
      </w:r>
      <w:r w:rsidRPr="00435F41">
        <w:rPr>
          <w:rFonts w:ascii="Arial" w:eastAsia="Times New Roman" w:hAnsi="Arial" w:cs="Arial"/>
          <w:color w:val="000000"/>
          <w:lang w:eastAsia="es-AR"/>
        </w:rPr>
        <w:t xml:space="preserve"> y Departamento IDERA:</w:t>
      </w:r>
    </w:p>
    <w:p w:rsid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sidRPr="00435F41">
        <w:rPr>
          <w:rFonts w:ascii="Arial" w:eastAsia="Times New Roman" w:hAnsi="Arial" w:cs="Arial"/>
          <w:color w:val="000000"/>
          <w:lang w:eastAsia="es-AR"/>
        </w:rPr>
        <w:t>Representantes jurisdiccionales:</w:t>
      </w:r>
    </w:p>
    <w:p w:rsidR="00435F41" w:rsidRP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Coordinadores de grupo</w:t>
      </w:r>
    </w:p>
    <w:p w:rsidR="00435F41" w:rsidRPr="00435F41" w:rsidRDefault="00435F41" w:rsidP="00435F41">
      <w:pPr>
        <w:spacing w:after="24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Notas: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Previo a iniciar con la temática se comunicó que íbamos a dividir la reunión en dos bloques:</w:t>
      </w:r>
    </w:p>
    <w:p w:rsidR="00435F41" w:rsidRPr="00435F41" w:rsidRDefault="00435F41" w:rsidP="00435F41">
      <w:pPr>
        <w:numPr>
          <w:ilvl w:val="0"/>
          <w:numId w:val="5"/>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 xml:space="preserve">Abocarnos a los objetos en los que detectamos posibles discrepancias con respecto a las jurisdicciones (nacional, provincial o municipal) productoras del </w:t>
      </w:r>
      <w:proofErr w:type="spellStart"/>
      <w:r w:rsidRPr="00435F41">
        <w:rPr>
          <w:rFonts w:ascii="Arial" w:eastAsia="Times New Roman" w:hAnsi="Arial" w:cs="Arial"/>
          <w:color w:val="000000"/>
          <w:lang w:eastAsia="es-AR"/>
        </w:rPr>
        <w:t>DByF</w:t>
      </w:r>
      <w:proofErr w:type="spellEnd"/>
    </w:p>
    <w:p w:rsidR="00435F41" w:rsidRPr="00435F41" w:rsidRDefault="00435F41" w:rsidP="00435F41">
      <w:pPr>
        <w:numPr>
          <w:ilvl w:val="0"/>
          <w:numId w:val="5"/>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 xml:space="preserve">Contemplar las propuestas con respecto a la inclusión de nuevos objetos al listado actual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Considerando que si los objetos no están el catálogo de OG V2 se eleve las propuestas en el formato requerido para someterlo a debate en el grupo de IG oportunamente.</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Previo a abordar el punto 1; desde la CE se aporta la necesidad de establecer además de las jurisdicciones y organismos productores, 3 criterios esenciales para lograr el objetivo de que los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estén disponibles en cualquier IDE, ellos </w:t>
      </w:r>
      <w:proofErr w:type="gramStart"/>
      <w:r w:rsidRPr="00435F41">
        <w:rPr>
          <w:rFonts w:ascii="Arial" w:eastAsia="Times New Roman" w:hAnsi="Arial" w:cs="Arial"/>
          <w:color w:val="000000"/>
          <w:lang w:eastAsia="es-AR"/>
        </w:rPr>
        <w:t>son :</w:t>
      </w:r>
      <w:proofErr w:type="gramEnd"/>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6"/>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Definir quién produce el dato</w:t>
      </w:r>
    </w:p>
    <w:p w:rsidR="00435F41" w:rsidRPr="00435F41" w:rsidRDefault="00435F41" w:rsidP="00435F41">
      <w:pPr>
        <w:numPr>
          <w:ilvl w:val="0"/>
          <w:numId w:val="6"/>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Definir quién integra los datos</w:t>
      </w:r>
    </w:p>
    <w:p w:rsidR="00435F41" w:rsidRPr="00435F41" w:rsidRDefault="00435F41" w:rsidP="00435F41">
      <w:pPr>
        <w:numPr>
          <w:ilvl w:val="0"/>
          <w:numId w:val="6"/>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Definir quién los publica finalmente</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Sobre los objetos en sí se logró consensuar lo siguiente:</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7"/>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Asentamiento humano: Jurisdicción provincial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Se mencionó la posibilidad de que un organismo nacional sea quien </w:t>
      </w:r>
      <w:r w:rsidRPr="00435F41">
        <w:rPr>
          <w:rFonts w:ascii="Arial" w:eastAsia="Times New Roman" w:hAnsi="Arial" w:cs="Arial"/>
          <w:b/>
          <w:bCs/>
          <w:color w:val="000000"/>
          <w:lang w:eastAsia="es-AR"/>
        </w:rPr>
        <w:t>integre</w:t>
      </w:r>
      <w:r w:rsidRPr="00435F41">
        <w:rPr>
          <w:rFonts w:ascii="Arial" w:eastAsia="Times New Roman" w:hAnsi="Arial" w:cs="Arial"/>
          <w:color w:val="000000"/>
          <w:lang w:eastAsia="es-AR"/>
        </w:rPr>
        <w:t xml:space="preserve"> el dato.</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Se generó un debate acerca de la definición misma del objeto con el aporte de </w:t>
      </w:r>
      <w:r>
        <w:rPr>
          <w:rFonts w:ascii="Arial" w:eastAsia="Times New Roman" w:hAnsi="Arial" w:cs="Arial"/>
          <w:color w:val="000000"/>
          <w:lang w:eastAsia="es-AR"/>
        </w:rPr>
        <w:t>una jurisdicción municipal,</w:t>
      </w:r>
      <w:r w:rsidRPr="00435F41">
        <w:rPr>
          <w:rFonts w:ascii="Arial" w:eastAsia="Times New Roman" w:hAnsi="Arial" w:cs="Arial"/>
          <w:color w:val="000000"/>
          <w:lang w:eastAsia="es-AR"/>
        </w:rPr>
        <w:t xml:space="preserve"> porque desde su municipio se trabaja sobre “asentamientos informales” por una problemática de acceso a la tierra. Finalmente se acordó que la definición del objeto integra esa misma temática.</w:t>
      </w:r>
    </w:p>
    <w:p w:rsidR="00435F41" w:rsidRPr="00435F41" w:rsidRDefault="00435F41" w:rsidP="00435F41">
      <w:pPr>
        <w:numPr>
          <w:ilvl w:val="0"/>
          <w:numId w:val="8"/>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Planta urbana: Jurisdicción municipal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Se definió más claramente desde los organismos municipales que la ordenanza municipal es la que define que es urbano y que es rural.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Pr>
          <w:rFonts w:ascii="Arial" w:eastAsia="Times New Roman" w:hAnsi="Arial" w:cs="Arial"/>
          <w:color w:val="000000"/>
          <w:lang w:eastAsia="es-AR"/>
        </w:rPr>
        <w:t>Desde catastro de Córdoba se</w:t>
      </w:r>
      <w:r w:rsidRPr="00435F41">
        <w:rPr>
          <w:rFonts w:ascii="Arial" w:eastAsia="Times New Roman" w:hAnsi="Arial" w:cs="Arial"/>
          <w:color w:val="000000"/>
          <w:lang w:eastAsia="es-AR"/>
        </w:rPr>
        <w:t xml:space="preserve"> considera importante </w:t>
      </w:r>
      <w:r w:rsidRPr="00435F41">
        <w:rPr>
          <w:rFonts w:ascii="Arial" w:eastAsia="Times New Roman" w:hAnsi="Arial" w:cs="Arial"/>
          <w:b/>
          <w:bCs/>
          <w:color w:val="000000"/>
          <w:lang w:eastAsia="es-AR"/>
        </w:rPr>
        <w:t>diferenciar</w:t>
      </w:r>
      <w:r w:rsidRPr="00435F41">
        <w:rPr>
          <w:rFonts w:ascii="Arial" w:eastAsia="Times New Roman" w:hAnsi="Arial" w:cs="Arial"/>
          <w:color w:val="000000"/>
          <w:lang w:eastAsia="es-AR"/>
        </w:rPr>
        <w:t xml:space="preserve"> 3 elementos para esclarecer conceptos, ellos son: </w:t>
      </w:r>
      <w:r w:rsidRPr="00435F41">
        <w:rPr>
          <w:rFonts w:ascii="Arial" w:eastAsia="Times New Roman" w:hAnsi="Arial" w:cs="Arial"/>
          <w:b/>
          <w:bCs/>
          <w:color w:val="000000"/>
          <w:lang w:eastAsia="es-AR"/>
        </w:rPr>
        <w:t>límites legales ≠ mancha física ≠ usos de suelo.</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9"/>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Red vial: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Con respecto a éste objeto y después de un debate se llegó a la conclusión de la necesidad de desagregar éste objeto en 2: </w:t>
      </w:r>
    </w:p>
    <w:p w:rsidR="00435F41" w:rsidRPr="00435F41" w:rsidRDefault="00435F41" w:rsidP="00435F41">
      <w:pPr>
        <w:numPr>
          <w:ilvl w:val="0"/>
          <w:numId w:val="10"/>
        </w:numPr>
        <w:shd w:val="clear" w:color="auto" w:fill="FFFFFF"/>
        <w:spacing w:after="0" w:line="240" w:lineRule="auto"/>
        <w:ind w:left="1275"/>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Red vial nacional</w:t>
      </w:r>
    </w:p>
    <w:p w:rsidR="00435F41" w:rsidRPr="00435F41" w:rsidRDefault="00435F41" w:rsidP="00435F41">
      <w:pPr>
        <w:numPr>
          <w:ilvl w:val="0"/>
          <w:numId w:val="10"/>
        </w:numPr>
        <w:shd w:val="clear" w:color="auto" w:fill="FFFFFF"/>
        <w:spacing w:after="0" w:line="240" w:lineRule="auto"/>
        <w:ind w:left="1275"/>
        <w:jc w:val="both"/>
        <w:textAlignment w:val="baseline"/>
        <w:rPr>
          <w:rFonts w:ascii="Arial" w:eastAsia="Times New Roman" w:hAnsi="Arial" w:cs="Arial"/>
          <w:color w:val="000000"/>
          <w:lang w:eastAsia="es-AR"/>
        </w:rPr>
      </w:pPr>
      <w:r w:rsidRPr="00435F41">
        <w:rPr>
          <w:rFonts w:ascii="Arial" w:eastAsia="Times New Roman" w:hAnsi="Arial" w:cs="Arial"/>
          <w:color w:val="000000"/>
          <w:lang w:eastAsia="es-AR"/>
        </w:rPr>
        <w:t>Red vial provincial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El coordinador de grupo IG (Marcos Albornoz) toma la propuesta desde ésta comisión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para elevarla a la próxima reunión de grupo y someterla a </w:t>
      </w:r>
      <w:r w:rsidRPr="00435F41">
        <w:rPr>
          <w:rFonts w:ascii="Arial" w:eastAsia="Times New Roman" w:hAnsi="Arial" w:cs="Arial"/>
          <w:color w:val="000000"/>
          <w:lang w:eastAsia="es-AR"/>
        </w:rPr>
        <w:lastRenderedPageBreak/>
        <w:t>consideración. La propuesta surge de la necesidad de establecer claramente cuál es la jurisdicción productora.</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11"/>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Curva de nivel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Se considera que las competencias están directamente relacionadas con la escala de representación. Se acuerda que es de </w:t>
      </w:r>
      <w:r w:rsidRPr="00435F41">
        <w:rPr>
          <w:rFonts w:ascii="Arial" w:eastAsia="Times New Roman" w:hAnsi="Arial" w:cs="Arial"/>
          <w:b/>
          <w:bCs/>
          <w:color w:val="000000"/>
          <w:lang w:eastAsia="es-AR"/>
        </w:rPr>
        <w:t>jurisdicción nacional</w:t>
      </w:r>
      <w:r w:rsidRPr="00435F41">
        <w:rPr>
          <w:rFonts w:ascii="Arial" w:eastAsia="Times New Roman" w:hAnsi="Arial" w:cs="Arial"/>
          <w:color w:val="000000"/>
          <w:lang w:eastAsia="es-AR"/>
        </w:rPr>
        <w:t xml:space="preserve"> las escalas 1:50.000 y 1:25.000</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A medida que la escala se hace más precisa las jurisdicciones van decantando en provincial y municipal.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12"/>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Cerro: Jurisdicción nacional.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Organismo productor: Instituto Geográfico Nacional (IGN)</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13"/>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Volcanes: Jurisdicción nacional</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Organismo productor: Servicio Geológico Minero Argentino (SEGEMAR)</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Con respecto al segundo bloque, se propone incluir dentro del listado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14"/>
        </w:numPr>
        <w:shd w:val="clear" w:color="auto" w:fill="FFFFFF"/>
        <w:spacing w:after="0" w:line="240" w:lineRule="auto"/>
        <w:jc w:val="both"/>
        <w:textAlignment w:val="baseline"/>
        <w:rPr>
          <w:rFonts w:ascii="Arial" w:eastAsia="Times New Roman" w:hAnsi="Arial" w:cs="Arial"/>
          <w:color w:val="000000"/>
          <w:lang w:eastAsia="es-AR"/>
        </w:rPr>
      </w:pPr>
      <w:r w:rsidRPr="00435F41">
        <w:rPr>
          <w:rFonts w:ascii="Arial" w:eastAsia="Times New Roman" w:hAnsi="Arial" w:cs="Arial"/>
          <w:b/>
          <w:bCs/>
          <w:color w:val="000000"/>
          <w:lang w:eastAsia="es-AR"/>
        </w:rPr>
        <w:t>Huella:</w:t>
      </w:r>
      <w:r w:rsidRPr="00435F41">
        <w:rPr>
          <w:rFonts w:ascii="Arial" w:eastAsia="Times New Roman" w:hAnsi="Arial" w:cs="Arial"/>
          <w:color w:val="000000"/>
          <w:lang w:eastAsia="es-AR"/>
        </w:rPr>
        <w:t xml:space="preserve"> Se considera de suma importancia para algunas regiones del país incluir éste objeto para la gestión de riesgos.</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Además, se proponen los siguientes OG nuevos:</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15"/>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Área de montaña</w:t>
      </w:r>
    </w:p>
    <w:p w:rsidR="00435F41" w:rsidRPr="00435F41" w:rsidRDefault="00435F41" w:rsidP="00435F41">
      <w:pPr>
        <w:numPr>
          <w:ilvl w:val="0"/>
          <w:numId w:val="15"/>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Cuenca hídrica</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Se deja en claro que se deben hacer los aportes en el formato requerido por IDERA</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Antes de realizarse la reunión </w:t>
      </w:r>
      <w:r>
        <w:rPr>
          <w:rFonts w:ascii="Arial" w:eastAsia="Times New Roman" w:hAnsi="Arial" w:cs="Arial"/>
          <w:color w:val="000000"/>
          <w:lang w:eastAsia="es-AR"/>
        </w:rPr>
        <w:t>desde una jurisdicción municipal se</w:t>
      </w:r>
      <w:r w:rsidRPr="00435F41">
        <w:rPr>
          <w:rFonts w:ascii="Arial" w:eastAsia="Times New Roman" w:hAnsi="Arial" w:cs="Arial"/>
          <w:color w:val="000000"/>
          <w:lang w:eastAsia="es-AR"/>
        </w:rPr>
        <w:t xml:space="preserve"> hace un aporte escrito a la temática: considera que los objetos considerados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para un Municipio consisten en las posibles iniciativas del mismo Municipio en cuanto a la creación, control y fiscalización de las temáticas vinculadas a control comunal, cultura local, obras públicas, territorio físico, planeamiento urbano, políticas productivas, salud, tránsito y transporte.</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Por último, se acuerda una próxima reunión para el </w:t>
      </w:r>
      <w:proofErr w:type="spellStart"/>
      <w:r w:rsidRPr="00435F41">
        <w:rPr>
          <w:rFonts w:ascii="Arial" w:eastAsia="Times New Roman" w:hAnsi="Arial" w:cs="Arial"/>
          <w:color w:val="000000"/>
          <w:lang w:eastAsia="es-AR"/>
        </w:rPr>
        <w:t>dia</w:t>
      </w:r>
      <w:proofErr w:type="spellEnd"/>
      <w:r w:rsidRPr="00435F41">
        <w:rPr>
          <w:rFonts w:ascii="Arial" w:eastAsia="Times New Roman" w:hAnsi="Arial" w:cs="Arial"/>
          <w:color w:val="000000"/>
          <w:lang w:eastAsia="es-AR"/>
        </w:rPr>
        <w:t xml:space="preserve"> viernes 16 de </w:t>
      </w:r>
      <w:proofErr w:type="gramStart"/>
      <w:r w:rsidRPr="00435F41">
        <w:rPr>
          <w:rFonts w:ascii="Arial" w:eastAsia="Times New Roman" w:hAnsi="Arial" w:cs="Arial"/>
          <w:color w:val="000000"/>
          <w:lang w:eastAsia="es-AR"/>
        </w:rPr>
        <w:t>Abril</w:t>
      </w:r>
      <w:proofErr w:type="gramEnd"/>
      <w:r w:rsidRPr="00435F41">
        <w:rPr>
          <w:rFonts w:ascii="Arial" w:eastAsia="Times New Roman" w:hAnsi="Arial" w:cs="Arial"/>
          <w:color w:val="000000"/>
          <w:lang w:eastAsia="es-AR"/>
        </w:rPr>
        <w:t xml:space="preserve"> a las 14hs, para seguir abordando otros objetos</w:t>
      </w:r>
      <w:r w:rsidRPr="00435F41">
        <w:rPr>
          <w:rFonts w:ascii="Arial" w:eastAsia="Times New Roman" w:hAnsi="Arial" w:cs="Arial"/>
          <w:color w:val="000000"/>
          <w:sz w:val="20"/>
          <w:szCs w:val="20"/>
          <w:lang w:eastAsia="es-AR"/>
        </w:rPr>
        <w:t>.</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 xml:space="preserve">3° Reunión 16 de abril - 14.00 </w:t>
      </w:r>
      <w:proofErr w:type="spellStart"/>
      <w:r w:rsidRPr="00435F41">
        <w:rPr>
          <w:rFonts w:ascii="Arial" w:eastAsia="Times New Roman" w:hAnsi="Arial" w:cs="Arial"/>
          <w:b/>
          <w:bCs/>
          <w:color w:val="000000"/>
          <w:lang w:eastAsia="es-AR"/>
        </w:rPr>
        <w:t>hs</w:t>
      </w:r>
      <w:proofErr w:type="spellEnd"/>
      <w:r w:rsidRPr="00435F41">
        <w:rPr>
          <w:rFonts w:ascii="Arial" w:eastAsia="Times New Roman" w:hAnsi="Arial" w:cs="Arial"/>
          <w:b/>
          <w:bCs/>
          <w:color w:val="000000"/>
          <w:lang w:eastAsia="es-AR"/>
        </w:rPr>
        <w:t>.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Default="00435F41" w:rsidP="00435F41">
      <w:pPr>
        <w:spacing w:after="0" w:line="240" w:lineRule="auto"/>
        <w:rPr>
          <w:rFonts w:ascii="Arial" w:eastAsia="Times New Roman" w:hAnsi="Arial" w:cs="Arial"/>
          <w:b/>
          <w:bCs/>
          <w:color w:val="000000"/>
          <w:lang w:eastAsia="es-AR"/>
        </w:rPr>
      </w:pPr>
      <w:r w:rsidRPr="00435F41">
        <w:rPr>
          <w:rFonts w:ascii="Arial" w:eastAsia="Times New Roman" w:hAnsi="Arial" w:cs="Arial"/>
          <w:b/>
          <w:bCs/>
          <w:color w:val="000000"/>
          <w:lang w:eastAsia="es-AR"/>
        </w:rPr>
        <w:t>Participaron: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pStyle w:val="Prrafodelista"/>
        <w:numPr>
          <w:ilvl w:val="0"/>
          <w:numId w:val="33"/>
        </w:num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Coordinación Ejecutiva</w:t>
      </w:r>
      <w:r>
        <w:rPr>
          <w:rFonts w:ascii="Arial" w:eastAsia="Times New Roman" w:hAnsi="Arial" w:cs="Arial"/>
          <w:color w:val="000000"/>
          <w:lang w:eastAsia="es-AR"/>
        </w:rPr>
        <w:t xml:space="preserve"> (CE)</w:t>
      </w:r>
      <w:r w:rsidRPr="00435F41">
        <w:rPr>
          <w:rFonts w:ascii="Arial" w:eastAsia="Times New Roman" w:hAnsi="Arial" w:cs="Arial"/>
          <w:color w:val="000000"/>
          <w:lang w:eastAsia="es-AR"/>
        </w:rPr>
        <w:t xml:space="preserve"> y Departamento IDERA:</w:t>
      </w:r>
    </w:p>
    <w:p w:rsid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sidRPr="00435F41">
        <w:rPr>
          <w:rFonts w:ascii="Arial" w:eastAsia="Times New Roman" w:hAnsi="Arial" w:cs="Arial"/>
          <w:color w:val="000000"/>
          <w:lang w:eastAsia="es-AR"/>
        </w:rPr>
        <w:t>Representantes jurisdiccionales:</w:t>
      </w:r>
    </w:p>
    <w:p w:rsidR="00435F41" w:rsidRP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Coordinadores de grupo</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b/>
          <w:bCs/>
          <w:color w:val="000000"/>
          <w:lang w:eastAsia="es-AR"/>
        </w:rPr>
        <w:t>Notas: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Se pone a disposición el archivo actualizado de los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y se propone abordar los objetos que habían quedado pendientes de la reunión anterior:</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lastRenderedPageBreak/>
        <w:br/>
      </w:r>
    </w:p>
    <w:p w:rsidR="00435F41" w:rsidRPr="00435F41" w:rsidRDefault="00435F41" w:rsidP="00435F41">
      <w:pPr>
        <w:numPr>
          <w:ilvl w:val="0"/>
          <w:numId w:val="18"/>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Límite interprovincial:</w:t>
      </w:r>
    </w:p>
    <w:p w:rsidR="00435F41" w:rsidRPr="00435F41" w:rsidRDefault="00435F41" w:rsidP="00435F41">
      <w:pPr>
        <w:spacing w:after="0" w:line="240" w:lineRule="auto"/>
        <w:ind w:left="708"/>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Se debate sobre la posibilidad de que sea un organismo provincial (Catastros provinciales) el que lo produce y un organismo nacional el que lo integra, pero </w:t>
      </w:r>
      <w:r w:rsidRPr="00435F41">
        <w:rPr>
          <w:rFonts w:ascii="Arial" w:eastAsia="Times New Roman" w:hAnsi="Arial" w:cs="Arial"/>
          <w:b/>
          <w:bCs/>
          <w:color w:val="000000"/>
          <w:lang w:eastAsia="es-AR"/>
        </w:rPr>
        <w:t>se comparte la decisión de hacer la consulta al Consejo Federal de Catastro sobre ésta competencia.</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19"/>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Municipio:</w:t>
      </w:r>
    </w:p>
    <w:p w:rsidR="00435F41" w:rsidRPr="00435F41" w:rsidRDefault="00435F41" w:rsidP="00435F41">
      <w:pPr>
        <w:spacing w:after="0" w:line="240" w:lineRule="auto"/>
        <w:ind w:left="708"/>
        <w:jc w:val="both"/>
        <w:rPr>
          <w:rFonts w:ascii="Times New Roman" w:eastAsia="Times New Roman" w:hAnsi="Times New Roman" w:cs="Times New Roman"/>
          <w:sz w:val="24"/>
          <w:szCs w:val="24"/>
          <w:lang w:eastAsia="es-AR"/>
        </w:rPr>
      </w:pPr>
      <w:r>
        <w:rPr>
          <w:rFonts w:ascii="Arial" w:eastAsia="Times New Roman" w:hAnsi="Arial" w:cs="Arial"/>
          <w:color w:val="000000"/>
          <w:lang w:eastAsia="es-AR"/>
        </w:rPr>
        <w:t>Desde catastro de Córdoba se</w:t>
      </w:r>
      <w:r w:rsidRPr="00435F41">
        <w:rPr>
          <w:rFonts w:ascii="Arial" w:eastAsia="Times New Roman" w:hAnsi="Arial" w:cs="Arial"/>
          <w:color w:val="000000"/>
          <w:lang w:eastAsia="es-AR"/>
        </w:rPr>
        <w:t xml:space="preserve"> aporta que los gobiernos locales participan, pero se aprueba por Ley Provincial, por lo tanto, es de</w:t>
      </w:r>
      <w:r w:rsidRPr="00435F41">
        <w:rPr>
          <w:rFonts w:ascii="Arial" w:eastAsia="Times New Roman" w:hAnsi="Arial" w:cs="Arial"/>
          <w:b/>
          <w:bCs/>
          <w:color w:val="000000"/>
          <w:lang w:eastAsia="es-AR"/>
        </w:rPr>
        <w:t xml:space="preserve"> jurisdicción provincial </w:t>
      </w:r>
      <w:r w:rsidRPr="00435F41">
        <w:rPr>
          <w:rFonts w:ascii="Arial" w:eastAsia="Times New Roman" w:hAnsi="Arial" w:cs="Arial"/>
          <w:color w:val="000000"/>
          <w:lang w:eastAsia="es-AR"/>
        </w:rPr>
        <w:t>(catastros provinciales)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0"/>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Provincia:</w:t>
      </w:r>
    </w:p>
    <w:p w:rsidR="00435F41" w:rsidRPr="00435F41" w:rsidRDefault="00435F41" w:rsidP="00435F41">
      <w:pPr>
        <w:spacing w:after="0" w:line="240" w:lineRule="auto"/>
        <w:ind w:left="708"/>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Se instala un debate similar al del objeto límite interprovincial, por lo tanto,</w:t>
      </w:r>
      <w:r w:rsidRPr="00435F41">
        <w:rPr>
          <w:rFonts w:ascii="Arial" w:eastAsia="Times New Roman" w:hAnsi="Arial" w:cs="Arial"/>
          <w:b/>
          <w:bCs/>
          <w:color w:val="000000"/>
          <w:lang w:eastAsia="es-AR"/>
        </w:rPr>
        <w:t xml:space="preserve"> se traslada la consulta al Consejo federal de Catastro.</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1"/>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Área de explotación </w:t>
      </w:r>
      <w:proofErr w:type="spellStart"/>
      <w:r w:rsidRPr="00435F41">
        <w:rPr>
          <w:rFonts w:ascii="Arial" w:eastAsia="Times New Roman" w:hAnsi="Arial" w:cs="Arial"/>
          <w:b/>
          <w:bCs/>
          <w:color w:val="000000"/>
          <w:lang w:eastAsia="es-AR"/>
        </w:rPr>
        <w:t>hidrocarburífera</w:t>
      </w:r>
      <w:proofErr w:type="spellEnd"/>
      <w:proofErr w:type="gramStart"/>
      <w:r w:rsidRPr="00435F41">
        <w:rPr>
          <w:rFonts w:ascii="Arial" w:eastAsia="Times New Roman" w:hAnsi="Arial" w:cs="Arial"/>
          <w:b/>
          <w:bCs/>
          <w:color w:val="000000"/>
          <w:lang w:eastAsia="es-AR"/>
        </w:rPr>
        <w:t>: ?</w:t>
      </w:r>
      <w:proofErr w:type="gramEnd"/>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2"/>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Área de fabricación y procesamiento</w:t>
      </w:r>
      <w:proofErr w:type="gramStart"/>
      <w:r w:rsidRPr="00435F41">
        <w:rPr>
          <w:rFonts w:ascii="Arial" w:eastAsia="Times New Roman" w:hAnsi="Arial" w:cs="Arial"/>
          <w:b/>
          <w:bCs/>
          <w:color w:val="000000"/>
          <w:lang w:eastAsia="es-AR"/>
        </w:rPr>
        <w:t>: ?</w:t>
      </w:r>
      <w:proofErr w:type="gramEnd"/>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3"/>
        </w:numPr>
        <w:spacing w:after="0" w:line="240" w:lineRule="auto"/>
        <w:jc w:val="both"/>
        <w:textAlignment w:val="baseline"/>
        <w:rPr>
          <w:rFonts w:ascii="Arial" w:eastAsia="Times New Roman" w:hAnsi="Arial" w:cs="Arial"/>
          <w:b/>
          <w:bCs/>
          <w:color w:val="000000"/>
          <w:lang w:eastAsia="es-AR"/>
        </w:rPr>
      </w:pPr>
      <w:r>
        <w:rPr>
          <w:rFonts w:ascii="Arial" w:eastAsia="Times New Roman" w:hAnsi="Arial" w:cs="Arial"/>
          <w:b/>
          <w:bCs/>
          <w:color w:val="000000"/>
          <w:lang w:eastAsia="es-AR"/>
        </w:rPr>
        <w:t xml:space="preserve">Torre de comunicación: </w:t>
      </w:r>
      <w:r w:rsidRPr="00435F41">
        <w:rPr>
          <w:rFonts w:ascii="Arial" w:eastAsia="Times New Roman" w:hAnsi="Arial" w:cs="Arial"/>
          <w:b/>
          <w:bCs/>
          <w:color w:val="000000"/>
          <w:lang w:eastAsia="es-AR"/>
        </w:rPr>
        <w:t xml:space="preserve">Jurisdicción nacional, </w:t>
      </w:r>
      <w:r w:rsidRPr="00435F41">
        <w:rPr>
          <w:rFonts w:ascii="Arial" w:eastAsia="Times New Roman" w:hAnsi="Arial" w:cs="Arial"/>
          <w:color w:val="000000"/>
          <w:lang w:eastAsia="es-AR"/>
        </w:rPr>
        <w:t>organismo productor: ENACOM</w:t>
      </w:r>
    </w:p>
    <w:p w:rsidR="00435F41" w:rsidRDefault="00435F41" w:rsidP="00435F41">
      <w:pPr>
        <w:spacing w:after="0" w:line="240" w:lineRule="auto"/>
        <w:ind w:left="720"/>
        <w:jc w:val="both"/>
        <w:textAlignment w:val="baseline"/>
        <w:rPr>
          <w:rFonts w:ascii="Arial" w:eastAsia="Times New Roman" w:hAnsi="Arial" w:cs="Arial"/>
          <w:b/>
          <w:bCs/>
          <w:color w:val="000000"/>
          <w:lang w:eastAsia="es-AR"/>
        </w:rPr>
      </w:pPr>
    </w:p>
    <w:p w:rsidR="00435F41" w:rsidRPr="00435F41" w:rsidRDefault="00435F41" w:rsidP="00435F41">
      <w:pPr>
        <w:spacing w:after="0" w:line="240" w:lineRule="auto"/>
        <w:ind w:left="720"/>
        <w:jc w:val="both"/>
        <w:textAlignment w:val="baseline"/>
        <w:rPr>
          <w:rFonts w:ascii="Arial" w:eastAsia="Times New Roman" w:hAnsi="Arial" w:cs="Arial"/>
          <w:b/>
          <w:bCs/>
          <w:color w:val="000000"/>
          <w:lang w:eastAsia="es-AR"/>
        </w:rPr>
      </w:pPr>
    </w:p>
    <w:p w:rsidR="00435F41" w:rsidRPr="00435F41" w:rsidRDefault="00435F41" w:rsidP="00435F41">
      <w:pPr>
        <w:spacing w:after="0" w:line="240" w:lineRule="auto"/>
        <w:ind w:left="708"/>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Se reinstala el debate de incorporar nuevos objetos al Catálogo de Objetos y de allí al listado actual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por su importancia estratégica y su usabilidad en algunas jurisdicciones. Se deja en claro que inicialmente debe haber una propuesta elevada al grupo de Información Geoespacial. En ése sentido el coordinador de dicho grupo (Marcos Albornoz) se compromete en dejar a disposición un archivo modelo para hacer la propuesta en el formato requerido por IDERA, para detallar en </w:t>
      </w:r>
      <w:proofErr w:type="spellStart"/>
      <w:r w:rsidRPr="00435F41">
        <w:rPr>
          <w:rFonts w:ascii="Arial" w:eastAsia="Times New Roman" w:hAnsi="Arial" w:cs="Arial"/>
          <w:color w:val="000000"/>
          <w:lang w:eastAsia="es-AR"/>
        </w:rPr>
        <w:t>que</w:t>
      </w:r>
      <w:proofErr w:type="spellEnd"/>
      <w:r w:rsidRPr="00435F41">
        <w:rPr>
          <w:rFonts w:ascii="Arial" w:eastAsia="Times New Roman" w:hAnsi="Arial" w:cs="Arial"/>
          <w:color w:val="000000"/>
          <w:lang w:eastAsia="es-AR"/>
        </w:rPr>
        <w:t xml:space="preserve"> nivel se hace la propuesta (Clase, Subclase, Objeto, Atributos y valores de dominio) y su correspondiente definición o modificación/ampliación de definiciones existentes, asimismo toma la propuesta para elevarla a próximas reuniones de grupo.</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ind w:left="708"/>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Los objetos propuestos son:</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4"/>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Usos de suelo: </w:t>
      </w:r>
      <w:r w:rsidRPr="00435F41">
        <w:rPr>
          <w:rFonts w:ascii="Arial" w:eastAsia="Times New Roman" w:hAnsi="Arial" w:cs="Arial"/>
          <w:color w:val="000000"/>
          <w:lang w:eastAsia="es-AR"/>
        </w:rPr>
        <w:t>vinculado a la subclase Planeamiento Urbano de la clase Demarcación y definida por los Municipios.</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5"/>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Cobertura de suelos: </w:t>
      </w:r>
      <w:r w:rsidRPr="00435F41">
        <w:rPr>
          <w:rFonts w:ascii="Arial" w:eastAsia="Times New Roman" w:hAnsi="Arial" w:cs="Arial"/>
          <w:color w:val="000000"/>
          <w:lang w:eastAsia="es-AR"/>
        </w:rPr>
        <w:t xml:space="preserve">En éste sentido </w:t>
      </w:r>
      <w:r>
        <w:rPr>
          <w:rFonts w:ascii="Arial" w:eastAsia="Times New Roman" w:hAnsi="Arial" w:cs="Arial"/>
          <w:color w:val="000000"/>
          <w:lang w:eastAsia="es-AR"/>
        </w:rPr>
        <w:t>desde catastro de Córdoba se</w:t>
      </w:r>
      <w:r w:rsidRPr="00435F41">
        <w:rPr>
          <w:rFonts w:ascii="Arial" w:eastAsia="Times New Roman" w:hAnsi="Arial" w:cs="Arial"/>
          <w:color w:val="000000"/>
          <w:lang w:eastAsia="es-AR"/>
        </w:rPr>
        <w:t xml:space="preserve"> aporta que la definición es una evolución de la de usos de suelo. En el debate surge que el objeto permitiría describir, caracterizar, clasificar y comparar las características de la cobertura de la tierra, interpretadas a partir de la utilización de imágenes </w:t>
      </w:r>
      <w:r w:rsidRPr="00435F41">
        <w:rPr>
          <w:rFonts w:ascii="Arial" w:eastAsia="Times New Roman" w:hAnsi="Arial" w:cs="Arial"/>
          <w:color w:val="000000"/>
          <w:lang w:eastAsia="es-AR"/>
        </w:rPr>
        <w:lastRenderedPageBreak/>
        <w:t>de satélite, para la construcción de mapas de cobertura a diferentes escalas. (Jurisdic</w:t>
      </w:r>
      <w:bookmarkStart w:id="0" w:name="_GoBack"/>
      <w:bookmarkEnd w:id="0"/>
      <w:r w:rsidRPr="00435F41">
        <w:rPr>
          <w:rFonts w:ascii="Arial" w:eastAsia="Times New Roman" w:hAnsi="Arial" w:cs="Arial"/>
          <w:color w:val="000000"/>
          <w:lang w:eastAsia="es-AR"/>
        </w:rPr>
        <w:t>ción ?) </w:t>
      </w:r>
    </w:p>
    <w:p w:rsidR="00435F41" w:rsidRPr="00435F41" w:rsidRDefault="00435F41" w:rsidP="00435F41">
      <w:pPr>
        <w:spacing w:after="0" w:line="240" w:lineRule="auto"/>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br/>
      </w:r>
    </w:p>
    <w:p w:rsidR="00435F41" w:rsidRPr="00435F41" w:rsidRDefault="00435F41" w:rsidP="00435F41">
      <w:pPr>
        <w:numPr>
          <w:ilvl w:val="0"/>
          <w:numId w:val="26"/>
        </w:numPr>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Cuencas hidrográficas: </w:t>
      </w:r>
      <w:r w:rsidRPr="00435F41">
        <w:rPr>
          <w:rFonts w:ascii="Arial" w:eastAsia="Times New Roman" w:hAnsi="Arial" w:cs="Arial"/>
          <w:color w:val="000000"/>
          <w:lang w:eastAsia="es-AR"/>
        </w:rPr>
        <w:t xml:space="preserve">Sobre éste objeto Marcos Albornoz se compromete en poner a disposición a ésta comisión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la definición que está trabajando la IDE de Tierra del Fuego ya que también planea proponerla.</w:t>
      </w:r>
    </w:p>
    <w:p w:rsidR="00435F41" w:rsidRPr="00435F41" w:rsidRDefault="00435F41" w:rsidP="00435F41">
      <w:pPr>
        <w:spacing w:after="240" w:line="240" w:lineRule="auto"/>
        <w:rPr>
          <w:rFonts w:ascii="Times New Roman" w:eastAsia="Times New Roman" w:hAnsi="Times New Roman" w:cs="Times New Roman"/>
          <w:sz w:val="24"/>
          <w:szCs w:val="24"/>
          <w:lang w:eastAsia="es-AR"/>
        </w:rPr>
      </w:pPr>
    </w:p>
    <w:p w:rsidR="00435F41" w:rsidRPr="00435F41" w:rsidRDefault="00435F41" w:rsidP="00435F41">
      <w:pPr>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 xml:space="preserve">Sobre el final </w:t>
      </w:r>
      <w:r>
        <w:rPr>
          <w:rFonts w:ascii="Arial" w:eastAsia="Times New Roman" w:hAnsi="Arial" w:cs="Arial"/>
          <w:color w:val="000000"/>
          <w:lang w:eastAsia="es-AR"/>
        </w:rPr>
        <w:t>el coordinador de IG</w:t>
      </w:r>
      <w:r w:rsidRPr="00435F41">
        <w:rPr>
          <w:rFonts w:ascii="Arial" w:eastAsia="Times New Roman" w:hAnsi="Arial" w:cs="Arial"/>
          <w:color w:val="000000"/>
          <w:lang w:eastAsia="es-AR"/>
        </w:rPr>
        <w:t xml:space="preserve"> interviene sobre la necesidad de abordar algunos objetos de la Clase Catastro por la diversidad de denominaciones que adoptan en los Catastros provinciales y pueden no estar contemplados en la actual versión del Catálogo de Objetos o bien podrían eventualmente normalizarse en menor cantidad de denominaciones. Se vuelve a resaltar la necesidad de hacer una consulta al Consejo Federal de Catastro.</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ind w:left="850"/>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ind w:left="850"/>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ind w:left="850"/>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ind w:left="850"/>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b/>
          <w:bCs/>
          <w:color w:val="000000"/>
          <w:sz w:val="20"/>
          <w:szCs w:val="20"/>
          <w:lang w:eastAsia="es-AR"/>
        </w:rPr>
        <w:t xml:space="preserve">Reunión 23 de </w:t>
      </w:r>
      <w:r w:rsidR="00855205" w:rsidRPr="00435F41">
        <w:rPr>
          <w:rFonts w:ascii="Arial" w:eastAsia="Times New Roman" w:hAnsi="Arial" w:cs="Arial"/>
          <w:b/>
          <w:bCs/>
          <w:color w:val="000000"/>
          <w:sz w:val="20"/>
          <w:szCs w:val="20"/>
          <w:lang w:eastAsia="es-AR"/>
        </w:rPr>
        <w:t>abril</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Arial" w:eastAsia="Times New Roman" w:hAnsi="Arial" w:cs="Arial"/>
          <w:color w:val="000000"/>
          <w:sz w:val="20"/>
          <w:szCs w:val="20"/>
          <w:lang w:eastAsia="es-AR"/>
        </w:rPr>
        <w:t>…………………………………</w:t>
      </w:r>
      <w:r>
        <w:rPr>
          <w:rFonts w:ascii="Arial" w:eastAsia="Times New Roman" w:hAnsi="Arial" w:cs="Arial"/>
          <w:color w:val="000000"/>
          <w:sz w:val="20"/>
          <w:szCs w:val="20"/>
          <w:lang w:eastAsia="es-AR"/>
        </w:rPr>
        <w:t>…………………………………………………………………………</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sz w:val="24"/>
          <w:szCs w:val="24"/>
          <w:lang w:eastAsia="es-AR"/>
        </w:rPr>
      </w:pPr>
      <w:r w:rsidRPr="00435F41">
        <w:rPr>
          <w:rFonts w:ascii="Times New Roman" w:eastAsia="Times New Roman" w:hAnsi="Times New Roman" w:cs="Times New Roman"/>
          <w:sz w:val="24"/>
          <w:szCs w:val="24"/>
          <w:lang w:eastAsia="es-AR"/>
        </w:rPr>
        <w:t> </w:t>
      </w:r>
    </w:p>
    <w:p w:rsidR="00435F41" w:rsidRDefault="00855205" w:rsidP="00435F41">
      <w:pPr>
        <w:shd w:val="clear" w:color="auto" w:fill="FFFFFF"/>
        <w:spacing w:after="0" w:line="240" w:lineRule="auto"/>
        <w:jc w:val="both"/>
        <w:rPr>
          <w:rFonts w:ascii="Arial" w:eastAsia="Times New Roman" w:hAnsi="Arial" w:cs="Arial"/>
          <w:b/>
          <w:bCs/>
          <w:color w:val="000000"/>
          <w:lang w:eastAsia="es-AR"/>
        </w:rPr>
      </w:pPr>
      <w:r w:rsidRPr="00435F41">
        <w:rPr>
          <w:rFonts w:ascii="Arial" w:eastAsia="Times New Roman" w:hAnsi="Arial" w:cs="Arial"/>
          <w:b/>
          <w:bCs/>
          <w:color w:val="000000"/>
          <w:lang w:eastAsia="es-AR"/>
        </w:rPr>
        <w:t>Reunión</w:t>
      </w:r>
      <w:r w:rsidR="00435F41" w:rsidRPr="00435F41">
        <w:rPr>
          <w:rFonts w:ascii="Arial" w:eastAsia="Times New Roman" w:hAnsi="Arial" w:cs="Arial"/>
          <w:b/>
          <w:bCs/>
          <w:color w:val="000000"/>
          <w:lang w:eastAsia="es-AR"/>
        </w:rPr>
        <w:t xml:space="preserve"> 6 de </w:t>
      </w:r>
      <w:r w:rsidRPr="00435F41">
        <w:rPr>
          <w:rFonts w:ascii="Arial" w:eastAsia="Times New Roman" w:hAnsi="Arial" w:cs="Arial"/>
          <w:b/>
          <w:bCs/>
          <w:color w:val="000000"/>
          <w:lang w:eastAsia="es-AR"/>
        </w:rPr>
        <w:t>mayo</w:t>
      </w:r>
    </w:p>
    <w:p w:rsidR="00855205" w:rsidRDefault="00855205" w:rsidP="00435F41">
      <w:pPr>
        <w:shd w:val="clear" w:color="auto" w:fill="FFFFFF"/>
        <w:spacing w:after="0" w:line="240" w:lineRule="auto"/>
        <w:jc w:val="both"/>
        <w:rPr>
          <w:rFonts w:ascii="Arial" w:eastAsia="Times New Roman" w:hAnsi="Arial" w:cs="Arial"/>
          <w:b/>
          <w:bCs/>
          <w:color w:val="000000"/>
          <w:lang w:eastAsia="es-AR"/>
        </w:rPr>
      </w:pPr>
    </w:p>
    <w:p w:rsidR="00855205" w:rsidRDefault="00855205" w:rsidP="00855205">
      <w:pPr>
        <w:spacing w:after="0" w:line="240" w:lineRule="auto"/>
        <w:rPr>
          <w:rFonts w:ascii="Arial" w:eastAsia="Times New Roman" w:hAnsi="Arial" w:cs="Arial"/>
          <w:b/>
          <w:bCs/>
          <w:color w:val="000000"/>
          <w:lang w:eastAsia="es-AR"/>
        </w:rPr>
      </w:pPr>
      <w:r w:rsidRPr="00435F41">
        <w:rPr>
          <w:rFonts w:ascii="Arial" w:eastAsia="Times New Roman" w:hAnsi="Arial" w:cs="Arial"/>
          <w:b/>
          <w:bCs/>
          <w:color w:val="000000"/>
          <w:lang w:eastAsia="es-AR"/>
        </w:rPr>
        <w:t>Participaron:</w:t>
      </w:r>
    </w:p>
    <w:p w:rsidR="00435F41" w:rsidRDefault="00435F41" w:rsidP="00435F41">
      <w:pPr>
        <w:shd w:val="clear" w:color="auto" w:fill="FFFFFF"/>
        <w:spacing w:after="0" w:line="240" w:lineRule="auto"/>
        <w:jc w:val="both"/>
        <w:rPr>
          <w:rFonts w:ascii="Arial" w:eastAsia="Times New Roman" w:hAnsi="Arial" w:cs="Arial"/>
          <w:b/>
          <w:bCs/>
          <w:color w:val="000000"/>
          <w:lang w:eastAsia="es-AR"/>
        </w:rPr>
      </w:pPr>
    </w:p>
    <w:p w:rsidR="00435F41" w:rsidRPr="00435F41" w:rsidRDefault="00435F41" w:rsidP="00435F41">
      <w:pPr>
        <w:pStyle w:val="Prrafodelista"/>
        <w:numPr>
          <w:ilvl w:val="0"/>
          <w:numId w:val="33"/>
        </w:numPr>
        <w:spacing w:after="0" w:line="240" w:lineRule="auto"/>
        <w:rPr>
          <w:rFonts w:ascii="Times New Roman" w:eastAsia="Times New Roman" w:hAnsi="Times New Roman" w:cs="Times New Roman"/>
          <w:sz w:val="24"/>
          <w:szCs w:val="24"/>
          <w:lang w:eastAsia="es-AR"/>
        </w:rPr>
      </w:pPr>
      <w:r w:rsidRPr="00435F41">
        <w:rPr>
          <w:rFonts w:ascii="Arial" w:eastAsia="Times New Roman" w:hAnsi="Arial" w:cs="Arial"/>
          <w:color w:val="000000"/>
          <w:lang w:eastAsia="es-AR"/>
        </w:rPr>
        <w:t>Coordinación Ejecutiva</w:t>
      </w:r>
      <w:r>
        <w:rPr>
          <w:rFonts w:ascii="Arial" w:eastAsia="Times New Roman" w:hAnsi="Arial" w:cs="Arial"/>
          <w:color w:val="000000"/>
          <w:lang w:eastAsia="es-AR"/>
        </w:rPr>
        <w:t xml:space="preserve"> (CE)</w:t>
      </w:r>
      <w:r w:rsidRPr="00435F41">
        <w:rPr>
          <w:rFonts w:ascii="Arial" w:eastAsia="Times New Roman" w:hAnsi="Arial" w:cs="Arial"/>
          <w:color w:val="000000"/>
          <w:lang w:eastAsia="es-AR"/>
        </w:rPr>
        <w:t xml:space="preserve"> y Departamento IDERA:</w:t>
      </w:r>
    </w:p>
    <w:p w:rsid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sidRPr="00435F41">
        <w:rPr>
          <w:rFonts w:ascii="Arial" w:eastAsia="Times New Roman" w:hAnsi="Arial" w:cs="Arial"/>
          <w:color w:val="000000"/>
          <w:lang w:eastAsia="es-AR"/>
        </w:rPr>
        <w:t>Representantes jurisdiccionales:</w:t>
      </w:r>
    </w:p>
    <w:p w:rsidR="00435F41" w:rsidRPr="00435F41" w:rsidRDefault="00435F41" w:rsidP="00435F41">
      <w:pPr>
        <w:pStyle w:val="Prrafodelista"/>
        <w:numPr>
          <w:ilvl w:val="0"/>
          <w:numId w:val="33"/>
        </w:num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Coordinadores de grupo</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Se retoma la mecánica de analizar objeto por objeto</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27"/>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Puesto de Control: </w:t>
      </w:r>
      <w:r w:rsidRPr="00435F41">
        <w:rPr>
          <w:rFonts w:ascii="Arial" w:eastAsia="Times New Roman" w:hAnsi="Arial" w:cs="Arial"/>
          <w:color w:val="000000"/>
          <w:lang w:eastAsia="es-AR"/>
        </w:rPr>
        <w:t xml:space="preserve">Se decide sacar del listado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ya que engloba tipologías de diversa índole no necesariamente considerada fundamental.</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28"/>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Paso fronterizo: </w:t>
      </w:r>
      <w:r w:rsidRPr="00435F41">
        <w:rPr>
          <w:rFonts w:ascii="Arial" w:eastAsia="Times New Roman" w:hAnsi="Arial" w:cs="Arial"/>
          <w:color w:val="000000"/>
          <w:lang w:eastAsia="es-AR"/>
        </w:rPr>
        <w:t xml:space="preserve">Se decide desagregar ésta temática del Objeto anterior, por su relevancia, incorporarlo como </w:t>
      </w:r>
      <w:r w:rsidRPr="00435F41">
        <w:rPr>
          <w:rFonts w:ascii="Arial" w:eastAsia="Times New Roman" w:hAnsi="Arial" w:cs="Arial"/>
          <w:b/>
          <w:bCs/>
          <w:color w:val="000000"/>
          <w:lang w:eastAsia="es-AR"/>
        </w:rPr>
        <w:t>nuevo</w:t>
      </w:r>
      <w:r w:rsidRPr="00435F41">
        <w:rPr>
          <w:rFonts w:ascii="Arial" w:eastAsia="Times New Roman" w:hAnsi="Arial" w:cs="Arial"/>
          <w:color w:val="000000"/>
          <w:lang w:eastAsia="es-AR"/>
        </w:rPr>
        <w:t xml:space="preserve"> Objeto al Catálogo de Objetos y por lo tanto al listado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29"/>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Puente: </w:t>
      </w:r>
      <w:r w:rsidRPr="00435F41">
        <w:rPr>
          <w:rFonts w:ascii="Arial" w:eastAsia="Times New Roman" w:hAnsi="Arial" w:cs="Arial"/>
          <w:color w:val="000000"/>
          <w:lang w:eastAsia="es-AR"/>
        </w:rPr>
        <w:t xml:space="preserve">Se decide retirarlo del listado de </w:t>
      </w:r>
      <w:proofErr w:type="spellStart"/>
      <w:r w:rsidRPr="00435F41">
        <w:rPr>
          <w:rFonts w:ascii="Arial" w:eastAsia="Times New Roman" w:hAnsi="Arial" w:cs="Arial"/>
          <w:color w:val="000000"/>
          <w:lang w:eastAsia="es-AR"/>
        </w:rPr>
        <w:t>DByF</w:t>
      </w:r>
      <w:proofErr w:type="spellEnd"/>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30"/>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Túnel: </w:t>
      </w:r>
      <w:r w:rsidRPr="00435F41">
        <w:rPr>
          <w:rFonts w:ascii="Arial" w:eastAsia="Times New Roman" w:hAnsi="Arial" w:cs="Arial"/>
          <w:color w:val="000000"/>
          <w:lang w:eastAsia="es-AR"/>
        </w:rPr>
        <w:t xml:space="preserve">Se decide retirarlo del listado de </w:t>
      </w:r>
      <w:proofErr w:type="spellStart"/>
      <w:r w:rsidRPr="00435F41">
        <w:rPr>
          <w:rFonts w:ascii="Arial" w:eastAsia="Times New Roman" w:hAnsi="Arial" w:cs="Arial"/>
          <w:color w:val="000000"/>
          <w:lang w:eastAsia="es-AR"/>
        </w:rPr>
        <w:t>DByF</w:t>
      </w:r>
      <w:proofErr w:type="spellEnd"/>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lastRenderedPageBreak/>
        <w:t> </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Con respecto a éstos dos últimos Objetos, hubo consenso en tanto que es comprobable que son componente del Objeto Red Vial y que éste mismo posee continuidad en los puntos donde se ubican los Objetos mencionados.</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ind w:left="708"/>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31"/>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Isla: </w:t>
      </w:r>
      <w:r w:rsidRPr="00435F41">
        <w:rPr>
          <w:rFonts w:ascii="Arial" w:eastAsia="Times New Roman" w:hAnsi="Arial" w:cs="Arial"/>
          <w:color w:val="000000"/>
          <w:lang w:eastAsia="es-AR"/>
        </w:rPr>
        <w:t>Se debate la posibilidad de elevar al grupo de Información Geoespacial una modificación en la definición del objeto ya que al momento de discernir sobre la competencia de jurisdicción hay claramente una jurisdicción provincial al momento de hablar de islas de cuencas internas y otra que suponemos nacional al mencionar las islas de la plataforma marítima continental, y en la definición actual del Objeto no están clarificadas esas opciones.</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numPr>
          <w:ilvl w:val="0"/>
          <w:numId w:val="32"/>
        </w:numPr>
        <w:shd w:val="clear" w:color="auto" w:fill="FFFFFF"/>
        <w:spacing w:after="0" w:line="240" w:lineRule="auto"/>
        <w:jc w:val="both"/>
        <w:textAlignment w:val="baseline"/>
        <w:rPr>
          <w:rFonts w:ascii="Arial" w:eastAsia="Times New Roman" w:hAnsi="Arial" w:cs="Arial"/>
          <w:b/>
          <w:bCs/>
          <w:color w:val="000000"/>
          <w:lang w:eastAsia="es-AR"/>
        </w:rPr>
      </w:pPr>
      <w:r w:rsidRPr="00435F41">
        <w:rPr>
          <w:rFonts w:ascii="Arial" w:eastAsia="Times New Roman" w:hAnsi="Arial" w:cs="Arial"/>
          <w:b/>
          <w:bCs/>
          <w:color w:val="000000"/>
          <w:lang w:eastAsia="es-AR"/>
        </w:rPr>
        <w:t xml:space="preserve">Dique: </w:t>
      </w:r>
      <w:r w:rsidRPr="00435F41">
        <w:rPr>
          <w:rFonts w:ascii="Arial" w:eastAsia="Times New Roman" w:hAnsi="Arial" w:cs="Arial"/>
          <w:color w:val="000000"/>
          <w:lang w:eastAsia="es-AR"/>
        </w:rPr>
        <w:t xml:space="preserve">Se decide retirarlo del listado de </w:t>
      </w:r>
      <w:proofErr w:type="spellStart"/>
      <w:r w:rsidRPr="00435F41">
        <w:rPr>
          <w:rFonts w:ascii="Arial" w:eastAsia="Times New Roman" w:hAnsi="Arial" w:cs="Arial"/>
          <w:color w:val="000000"/>
          <w:lang w:eastAsia="es-AR"/>
        </w:rPr>
        <w:t>DByF</w:t>
      </w:r>
      <w:proofErr w:type="spellEnd"/>
      <w:r w:rsidRPr="00435F41">
        <w:rPr>
          <w:rFonts w:ascii="Arial" w:eastAsia="Times New Roman" w:hAnsi="Arial" w:cs="Arial"/>
          <w:color w:val="000000"/>
          <w:lang w:eastAsia="es-AR"/>
        </w:rPr>
        <w:t xml:space="preserve">. Se propone modificar su definición ya que menciona: “Terraplén natural o artificial”, se propone retirar natural porque se entendería que es obra de la misma naturaleza y el Objeto hace referencia a obras de </w:t>
      </w:r>
      <w:r w:rsidR="00855205" w:rsidRPr="00435F41">
        <w:rPr>
          <w:rFonts w:ascii="Arial" w:eastAsia="Times New Roman" w:hAnsi="Arial" w:cs="Arial"/>
          <w:color w:val="000000"/>
          <w:lang w:eastAsia="es-AR"/>
        </w:rPr>
        <w:t>ingeniería,</w:t>
      </w:r>
      <w:r w:rsidRPr="00435F41">
        <w:rPr>
          <w:rFonts w:ascii="Arial" w:eastAsia="Times New Roman" w:hAnsi="Arial" w:cs="Arial"/>
          <w:color w:val="000000"/>
          <w:lang w:eastAsia="es-AR"/>
        </w:rPr>
        <w:t xml:space="preserve"> aunque los terraplenes sean de tierra natural.</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Times New Roman" w:eastAsia="Times New Roman" w:hAnsi="Times New Roman" w:cs="Times New Roman"/>
          <w:lang w:eastAsia="es-AR"/>
        </w:rPr>
        <w:t> </w:t>
      </w:r>
    </w:p>
    <w:p w:rsidR="00435F41" w:rsidRPr="00435F41" w:rsidRDefault="00435F41" w:rsidP="00435F41">
      <w:pPr>
        <w:shd w:val="clear" w:color="auto" w:fill="FFFFFF"/>
        <w:spacing w:after="0" w:line="240" w:lineRule="auto"/>
        <w:jc w:val="both"/>
        <w:rPr>
          <w:rFonts w:ascii="Times New Roman" w:eastAsia="Times New Roman" w:hAnsi="Times New Roman" w:cs="Times New Roman"/>
          <w:lang w:eastAsia="es-AR"/>
        </w:rPr>
      </w:pPr>
      <w:r w:rsidRPr="00435F41">
        <w:rPr>
          <w:rFonts w:ascii="Arial" w:eastAsia="Times New Roman" w:hAnsi="Arial" w:cs="Arial"/>
          <w:color w:val="000000"/>
          <w:lang w:eastAsia="es-AR"/>
        </w:rPr>
        <w:t xml:space="preserve">Con respecto a la reiteración de debates sobre los probables conflictos entre jurisdicción nacional y provincial se llega a la conclusión que los objetos que deberían ser de jurisdicción </w:t>
      </w:r>
      <w:r w:rsidR="00855205">
        <w:rPr>
          <w:rFonts w:ascii="Arial" w:eastAsia="Times New Roman" w:hAnsi="Arial" w:cs="Arial"/>
          <w:color w:val="000000"/>
          <w:lang w:eastAsia="es-AR"/>
        </w:rPr>
        <w:t>provincial,</w:t>
      </w:r>
      <w:r w:rsidRPr="00435F41">
        <w:rPr>
          <w:rFonts w:ascii="Arial" w:eastAsia="Times New Roman" w:hAnsi="Arial" w:cs="Arial"/>
          <w:color w:val="000000"/>
          <w:lang w:eastAsia="es-AR"/>
        </w:rPr>
        <w:t xml:space="preserve"> pero</w:t>
      </w:r>
      <w:r w:rsidR="00855205">
        <w:rPr>
          <w:rFonts w:ascii="Arial" w:eastAsia="Times New Roman" w:hAnsi="Arial" w:cs="Arial"/>
          <w:color w:val="000000"/>
          <w:lang w:eastAsia="es-AR"/>
        </w:rPr>
        <w:t xml:space="preserve"> por</w:t>
      </w:r>
      <w:r w:rsidRPr="00435F41">
        <w:rPr>
          <w:rFonts w:ascii="Arial" w:eastAsia="Times New Roman" w:hAnsi="Arial" w:cs="Arial"/>
          <w:color w:val="000000"/>
          <w:lang w:eastAsia="es-AR"/>
        </w:rPr>
        <w:t xml:space="preserve"> las razones que fuere no se publican, la Ley de la Carta permite al Instituto Geográfico Nacional publicar dichos objetos si están contemplados hasta la escala 1:50.000</w:t>
      </w:r>
    </w:p>
    <w:p w:rsidR="00B47458" w:rsidRPr="00435F41" w:rsidRDefault="00B47458"/>
    <w:sectPr w:rsidR="00B47458" w:rsidRPr="00435F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444"/>
    <w:multiLevelType w:val="multilevel"/>
    <w:tmpl w:val="61BC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5DD3"/>
    <w:multiLevelType w:val="multilevel"/>
    <w:tmpl w:val="760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73979"/>
    <w:multiLevelType w:val="multilevel"/>
    <w:tmpl w:val="13F0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66597"/>
    <w:multiLevelType w:val="multilevel"/>
    <w:tmpl w:val="466C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44F37"/>
    <w:multiLevelType w:val="multilevel"/>
    <w:tmpl w:val="4C7A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56443"/>
    <w:multiLevelType w:val="multilevel"/>
    <w:tmpl w:val="48B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91A6A"/>
    <w:multiLevelType w:val="multilevel"/>
    <w:tmpl w:val="1A86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6539A"/>
    <w:multiLevelType w:val="hybridMultilevel"/>
    <w:tmpl w:val="DDAC92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C1D2C8A"/>
    <w:multiLevelType w:val="multilevel"/>
    <w:tmpl w:val="A90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A73C2"/>
    <w:multiLevelType w:val="multilevel"/>
    <w:tmpl w:val="41F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029B6"/>
    <w:multiLevelType w:val="multilevel"/>
    <w:tmpl w:val="B6C8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11734"/>
    <w:multiLevelType w:val="multilevel"/>
    <w:tmpl w:val="B18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47C2E"/>
    <w:multiLevelType w:val="multilevel"/>
    <w:tmpl w:val="A416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D7747"/>
    <w:multiLevelType w:val="multilevel"/>
    <w:tmpl w:val="510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B2811"/>
    <w:multiLevelType w:val="multilevel"/>
    <w:tmpl w:val="B87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605FA"/>
    <w:multiLevelType w:val="multilevel"/>
    <w:tmpl w:val="D28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73927"/>
    <w:multiLevelType w:val="multilevel"/>
    <w:tmpl w:val="A1AC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F1147"/>
    <w:multiLevelType w:val="multilevel"/>
    <w:tmpl w:val="F17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72A18"/>
    <w:multiLevelType w:val="multilevel"/>
    <w:tmpl w:val="1B5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22BFE"/>
    <w:multiLevelType w:val="multilevel"/>
    <w:tmpl w:val="E27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50DE0"/>
    <w:multiLevelType w:val="multilevel"/>
    <w:tmpl w:val="D8C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54A96"/>
    <w:multiLevelType w:val="multilevel"/>
    <w:tmpl w:val="4CC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2C01"/>
    <w:multiLevelType w:val="multilevel"/>
    <w:tmpl w:val="9F8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D2024"/>
    <w:multiLevelType w:val="multilevel"/>
    <w:tmpl w:val="849C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22E7B"/>
    <w:multiLevelType w:val="multilevel"/>
    <w:tmpl w:val="D7F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73BF8"/>
    <w:multiLevelType w:val="multilevel"/>
    <w:tmpl w:val="AF2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24C21"/>
    <w:multiLevelType w:val="multilevel"/>
    <w:tmpl w:val="9E3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63B4A"/>
    <w:multiLevelType w:val="multilevel"/>
    <w:tmpl w:val="AD46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A2610"/>
    <w:multiLevelType w:val="multilevel"/>
    <w:tmpl w:val="BBA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D9465F"/>
    <w:multiLevelType w:val="multilevel"/>
    <w:tmpl w:val="C53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F65EC"/>
    <w:multiLevelType w:val="multilevel"/>
    <w:tmpl w:val="AEB8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1D130D"/>
    <w:multiLevelType w:val="multilevel"/>
    <w:tmpl w:val="120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941DC"/>
    <w:multiLevelType w:val="multilevel"/>
    <w:tmpl w:val="B6D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2"/>
  </w:num>
  <w:num w:numId="3">
    <w:abstractNumId w:val="1"/>
  </w:num>
  <w:num w:numId="4">
    <w:abstractNumId w:val="29"/>
  </w:num>
  <w:num w:numId="5">
    <w:abstractNumId w:val="6"/>
  </w:num>
  <w:num w:numId="6">
    <w:abstractNumId w:val="8"/>
  </w:num>
  <w:num w:numId="7">
    <w:abstractNumId w:val="18"/>
  </w:num>
  <w:num w:numId="8">
    <w:abstractNumId w:val="20"/>
  </w:num>
  <w:num w:numId="9">
    <w:abstractNumId w:val="31"/>
  </w:num>
  <w:num w:numId="10">
    <w:abstractNumId w:val="25"/>
  </w:num>
  <w:num w:numId="11">
    <w:abstractNumId w:val="14"/>
  </w:num>
  <w:num w:numId="12">
    <w:abstractNumId w:val="27"/>
  </w:num>
  <w:num w:numId="13">
    <w:abstractNumId w:val="5"/>
  </w:num>
  <w:num w:numId="14">
    <w:abstractNumId w:val="13"/>
  </w:num>
  <w:num w:numId="15">
    <w:abstractNumId w:val="28"/>
  </w:num>
  <w:num w:numId="16">
    <w:abstractNumId w:val="2"/>
  </w:num>
  <w:num w:numId="17">
    <w:abstractNumId w:val="10"/>
  </w:num>
  <w:num w:numId="18">
    <w:abstractNumId w:val="23"/>
  </w:num>
  <w:num w:numId="19">
    <w:abstractNumId w:val="24"/>
  </w:num>
  <w:num w:numId="20">
    <w:abstractNumId w:val="19"/>
  </w:num>
  <w:num w:numId="21">
    <w:abstractNumId w:val="3"/>
  </w:num>
  <w:num w:numId="22">
    <w:abstractNumId w:val="30"/>
  </w:num>
  <w:num w:numId="23">
    <w:abstractNumId w:val="26"/>
  </w:num>
  <w:num w:numId="24">
    <w:abstractNumId w:val="0"/>
  </w:num>
  <w:num w:numId="25">
    <w:abstractNumId w:val="17"/>
  </w:num>
  <w:num w:numId="26">
    <w:abstractNumId w:val="21"/>
  </w:num>
  <w:num w:numId="27">
    <w:abstractNumId w:val="22"/>
  </w:num>
  <w:num w:numId="28">
    <w:abstractNumId w:val="12"/>
  </w:num>
  <w:num w:numId="29">
    <w:abstractNumId w:val="16"/>
  </w:num>
  <w:num w:numId="30">
    <w:abstractNumId w:val="11"/>
  </w:num>
  <w:num w:numId="31">
    <w:abstractNumId w:val="9"/>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41"/>
    <w:rsid w:val="00435F41"/>
    <w:rsid w:val="00855205"/>
    <w:rsid w:val="00B474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CB2A"/>
  <w15:chartTrackingRefBased/>
  <w15:docId w15:val="{7817F611-B8EA-4A35-B182-C9F35681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5F4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435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1704</Words>
  <Characters>9375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Albornoz</dc:creator>
  <cp:keywords/>
  <dc:description/>
  <cp:lastModifiedBy>Marcos Albornoz</cp:lastModifiedBy>
  <cp:revision>1</cp:revision>
  <dcterms:created xsi:type="dcterms:W3CDTF">2021-06-28T22:44:00Z</dcterms:created>
  <dcterms:modified xsi:type="dcterms:W3CDTF">2021-06-28T22:57:00Z</dcterms:modified>
</cp:coreProperties>
</file>